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b/>
          <w:bCs/>
          <w:color w:val="auto"/>
          <w:sz w:val="32"/>
          <w:szCs w:val="32"/>
        </w:rPr>
      </w:pPr>
      <w:r>
        <w:rPr>
          <w:rFonts w:hint="eastAsia" w:ascii="黑体" w:hAnsi="黑体" w:eastAsia="黑体" w:cs="黑体"/>
          <w:b/>
          <w:bCs/>
          <w:color w:val="auto"/>
          <w:sz w:val="32"/>
          <w:szCs w:val="32"/>
        </w:rPr>
        <w:t>附件</w:t>
      </w:r>
      <w:r>
        <w:rPr>
          <w:rFonts w:hint="eastAsia" w:ascii="黑体" w:hAnsi="黑体" w:eastAsia="黑体" w:cs="黑体"/>
          <w:b/>
          <w:bCs/>
          <w:color w:val="auto"/>
          <w:sz w:val="32"/>
          <w:szCs w:val="32"/>
          <w:lang w:val="en-US" w:eastAsia="zh-CN"/>
        </w:rPr>
        <w:t>1</w:t>
      </w:r>
      <w:r>
        <w:rPr>
          <w:rFonts w:hint="eastAsia" w:ascii="黑体" w:hAnsi="黑体" w:eastAsia="黑体" w:cs="黑体"/>
          <w:b/>
          <w:bCs/>
          <w:color w:val="auto"/>
          <w:sz w:val="32"/>
          <w:szCs w:val="32"/>
        </w:rPr>
        <w:t xml:space="preserve"> </w:t>
      </w:r>
      <w:r>
        <w:rPr>
          <w:rFonts w:hint="eastAsia"/>
          <w:b/>
          <w:bCs/>
          <w:color w:val="auto"/>
          <w:sz w:val="32"/>
          <w:szCs w:val="32"/>
        </w:rPr>
        <w:t xml:space="preserve">     </w:t>
      </w:r>
    </w:p>
    <w:p>
      <w:pPr>
        <w:pStyle w:val="5"/>
        <w:jc w:val="center"/>
        <w:rPr>
          <w:rFonts w:hint="eastAsia" w:ascii="方正小标宋简体" w:hAnsi="方正小标宋简体" w:eastAsia="方正小标宋简体" w:cs="方正小标宋简体"/>
          <w:color w:val="auto"/>
          <w:spacing w:val="-17"/>
          <w:kern w:val="0"/>
          <w:sz w:val="44"/>
          <w:szCs w:val="44"/>
          <w:lang w:val="en-US" w:eastAsia="zh-CN" w:bidi="ar-SA"/>
        </w:rPr>
      </w:pPr>
      <w:r>
        <w:rPr>
          <w:rFonts w:hint="eastAsia" w:ascii="方正小标宋简体" w:hAnsi="方正小标宋简体" w:eastAsia="方正小标宋简体" w:cs="方正小标宋简体"/>
          <w:color w:val="auto"/>
          <w:spacing w:val="-17"/>
          <w:kern w:val="0"/>
          <w:sz w:val="44"/>
          <w:szCs w:val="44"/>
          <w:lang w:val="en-US" w:eastAsia="zh-CN" w:bidi="ar-SA"/>
        </w:rPr>
        <w:t>大连太平湾合作创新区管委会中层及以下岗位工作人员公开招聘岗位计划表</w:t>
      </w:r>
    </w:p>
    <w:tbl>
      <w:tblPr>
        <w:tblStyle w:val="7"/>
        <w:tblW w:w="15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283"/>
        <w:gridCol w:w="934"/>
        <w:gridCol w:w="4867"/>
        <w:gridCol w:w="817"/>
        <w:gridCol w:w="1416"/>
        <w:gridCol w:w="1241"/>
        <w:gridCol w:w="826"/>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jc w:val="center"/>
        </w:trPr>
        <w:tc>
          <w:tcPr>
            <w:tcW w:w="584" w:type="dxa"/>
            <w:vMerge w:val="restart"/>
            <w:noWrap w:val="0"/>
            <w:vAlign w:val="center"/>
          </w:tcPr>
          <w:p>
            <w:pPr>
              <w:widowControl/>
              <w:spacing w:line="0" w:lineRule="atLeast"/>
              <w:jc w:val="center"/>
              <w:textAlignment w:val="center"/>
              <w:rPr>
                <w:rFonts w:hint="eastAsia" w:ascii="宋体" w:hAnsi="宋体" w:eastAsia="宋体" w:cs="宋体"/>
                <w:b/>
                <w:bCs/>
                <w:color w:val="000000"/>
                <w:kern w:val="0"/>
                <w:sz w:val="22"/>
                <w:szCs w:val="22"/>
                <w:highlight w:val="none"/>
                <w:lang w:val="en-US" w:eastAsia="zh-CN"/>
              </w:rPr>
            </w:pPr>
            <w:r>
              <w:rPr>
                <w:rFonts w:hint="eastAsia" w:ascii="宋体" w:hAnsi="宋体" w:eastAsia="宋体" w:cs="宋体"/>
                <w:b/>
                <w:bCs/>
                <w:color w:val="000000"/>
                <w:kern w:val="0"/>
                <w:sz w:val="22"/>
                <w:szCs w:val="22"/>
                <w:highlight w:val="none"/>
                <w:lang w:val="en-US" w:eastAsia="zh-CN"/>
              </w:rPr>
              <w:t>序号</w:t>
            </w:r>
          </w:p>
        </w:tc>
        <w:tc>
          <w:tcPr>
            <w:tcW w:w="1283" w:type="dxa"/>
            <w:vMerge w:val="restart"/>
            <w:noWrap w:val="0"/>
            <w:vAlign w:val="center"/>
          </w:tcPr>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部门名称</w:t>
            </w:r>
          </w:p>
        </w:tc>
        <w:tc>
          <w:tcPr>
            <w:tcW w:w="934" w:type="dxa"/>
            <w:vMerge w:val="restart"/>
            <w:noWrap w:val="0"/>
            <w:vAlign w:val="center"/>
          </w:tcPr>
          <w:p>
            <w:pPr>
              <w:widowControl/>
              <w:spacing w:line="0" w:lineRule="atLeast"/>
              <w:jc w:val="center"/>
              <w:textAlignment w:val="center"/>
              <w:rPr>
                <w:rFonts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招聘</w:t>
            </w:r>
          </w:p>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岗位</w:t>
            </w:r>
          </w:p>
        </w:tc>
        <w:tc>
          <w:tcPr>
            <w:tcW w:w="4867" w:type="dxa"/>
            <w:vMerge w:val="restart"/>
            <w:noWrap w:val="0"/>
            <w:vAlign w:val="center"/>
          </w:tcPr>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岗位主要职责</w:t>
            </w:r>
          </w:p>
        </w:tc>
        <w:tc>
          <w:tcPr>
            <w:tcW w:w="817" w:type="dxa"/>
            <w:vMerge w:val="restart"/>
            <w:noWrap w:val="0"/>
            <w:vAlign w:val="center"/>
          </w:tcPr>
          <w:p>
            <w:pPr>
              <w:widowControl/>
              <w:spacing w:line="0" w:lineRule="atLeast"/>
              <w:jc w:val="center"/>
              <w:textAlignment w:val="center"/>
              <w:rPr>
                <w:rFonts w:hint="eastAsia" w:ascii="宋体" w:hAnsi="宋体" w:eastAsia="宋体" w:cs="宋体"/>
                <w:b/>
                <w:bCs/>
                <w:color w:val="000000"/>
                <w:kern w:val="0"/>
                <w:sz w:val="22"/>
                <w:szCs w:val="22"/>
                <w:highlight w:val="none"/>
                <w:lang w:eastAsia="zh-CN"/>
              </w:rPr>
            </w:pPr>
            <w:r>
              <w:rPr>
                <w:rFonts w:hint="eastAsia" w:ascii="宋体" w:hAnsi="宋体" w:eastAsia="宋体" w:cs="宋体"/>
                <w:b/>
                <w:bCs/>
                <w:color w:val="000000"/>
                <w:kern w:val="0"/>
                <w:sz w:val="22"/>
                <w:szCs w:val="22"/>
                <w:highlight w:val="none"/>
              </w:rPr>
              <w:t>招聘</w:t>
            </w:r>
          </w:p>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人数</w:t>
            </w:r>
          </w:p>
        </w:tc>
        <w:tc>
          <w:tcPr>
            <w:tcW w:w="7284" w:type="dxa"/>
            <w:gridSpan w:val="4"/>
            <w:noWrap w:val="0"/>
            <w:vAlign w:val="center"/>
          </w:tcPr>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岗位任职条件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84" w:type="dxa"/>
            <w:vMerge w:val="continue"/>
            <w:noWrap w:val="0"/>
            <w:vAlign w:val="center"/>
          </w:tcPr>
          <w:p>
            <w:pPr>
              <w:widowControl/>
              <w:spacing w:line="0" w:lineRule="atLeast"/>
              <w:jc w:val="center"/>
              <w:rPr>
                <w:rFonts w:ascii="宋体" w:hAnsi="宋体" w:eastAsia="宋体" w:cs="宋体"/>
                <w:b/>
                <w:bCs/>
                <w:color w:val="000000"/>
                <w:sz w:val="22"/>
                <w:szCs w:val="22"/>
                <w:highlight w:val="none"/>
              </w:rPr>
            </w:pPr>
          </w:p>
        </w:tc>
        <w:tc>
          <w:tcPr>
            <w:tcW w:w="1283" w:type="dxa"/>
            <w:vMerge w:val="continue"/>
            <w:noWrap w:val="0"/>
            <w:vAlign w:val="center"/>
          </w:tcPr>
          <w:p>
            <w:pPr>
              <w:widowControl/>
              <w:spacing w:line="0" w:lineRule="atLeast"/>
              <w:jc w:val="center"/>
              <w:rPr>
                <w:rFonts w:ascii="宋体" w:hAnsi="宋体" w:eastAsia="宋体" w:cs="宋体"/>
                <w:b/>
                <w:bCs/>
                <w:color w:val="000000"/>
                <w:sz w:val="22"/>
                <w:szCs w:val="22"/>
                <w:highlight w:val="none"/>
              </w:rPr>
            </w:pPr>
          </w:p>
        </w:tc>
        <w:tc>
          <w:tcPr>
            <w:tcW w:w="934" w:type="dxa"/>
            <w:vMerge w:val="continue"/>
            <w:noWrap w:val="0"/>
            <w:vAlign w:val="center"/>
          </w:tcPr>
          <w:p>
            <w:pPr>
              <w:widowControl/>
              <w:spacing w:line="0" w:lineRule="atLeast"/>
              <w:jc w:val="center"/>
              <w:rPr>
                <w:rFonts w:ascii="宋体" w:hAnsi="宋体" w:eastAsia="宋体" w:cs="宋体"/>
                <w:b/>
                <w:bCs/>
                <w:color w:val="000000"/>
                <w:sz w:val="22"/>
                <w:szCs w:val="22"/>
                <w:highlight w:val="none"/>
              </w:rPr>
            </w:pPr>
          </w:p>
        </w:tc>
        <w:tc>
          <w:tcPr>
            <w:tcW w:w="4867" w:type="dxa"/>
            <w:vMerge w:val="continue"/>
            <w:noWrap w:val="0"/>
            <w:vAlign w:val="center"/>
          </w:tcPr>
          <w:p>
            <w:pPr>
              <w:widowControl/>
              <w:spacing w:line="0" w:lineRule="atLeast"/>
              <w:jc w:val="center"/>
              <w:rPr>
                <w:rFonts w:ascii="宋体" w:hAnsi="宋体" w:eastAsia="宋体" w:cs="宋体"/>
                <w:b/>
                <w:bCs/>
                <w:color w:val="000000"/>
                <w:sz w:val="22"/>
                <w:szCs w:val="22"/>
                <w:highlight w:val="none"/>
              </w:rPr>
            </w:pPr>
          </w:p>
        </w:tc>
        <w:tc>
          <w:tcPr>
            <w:tcW w:w="817" w:type="dxa"/>
            <w:vMerge w:val="continue"/>
            <w:noWrap w:val="0"/>
            <w:vAlign w:val="center"/>
          </w:tcPr>
          <w:p>
            <w:pPr>
              <w:widowControl/>
              <w:spacing w:line="0" w:lineRule="atLeast"/>
              <w:jc w:val="center"/>
              <w:rPr>
                <w:rFonts w:ascii="宋体" w:hAnsi="宋体" w:eastAsia="宋体" w:cs="宋体"/>
                <w:b/>
                <w:bCs/>
                <w:color w:val="000000"/>
                <w:sz w:val="22"/>
                <w:szCs w:val="22"/>
                <w:highlight w:val="none"/>
              </w:rPr>
            </w:pPr>
          </w:p>
        </w:tc>
        <w:tc>
          <w:tcPr>
            <w:tcW w:w="1416" w:type="dxa"/>
            <w:noWrap w:val="0"/>
            <w:vAlign w:val="center"/>
          </w:tcPr>
          <w:p>
            <w:pPr>
              <w:widowControl/>
              <w:spacing w:line="0" w:lineRule="atLeast"/>
              <w:jc w:val="center"/>
              <w:textAlignment w:val="center"/>
              <w:rPr>
                <w:rFonts w:hint="eastAsia" w:ascii="宋体" w:hAnsi="宋体" w:eastAsia="宋体" w:cs="宋体"/>
                <w:b/>
                <w:bCs/>
                <w:color w:val="000000"/>
                <w:kern w:val="0"/>
                <w:sz w:val="22"/>
                <w:szCs w:val="22"/>
                <w:highlight w:val="none"/>
                <w:lang w:eastAsia="zh-CN"/>
              </w:rPr>
            </w:pPr>
            <w:r>
              <w:rPr>
                <w:rFonts w:hint="eastAsia" w:ascii="宋体" w:hAnsi="宋体" w:eastAsia="宋体" w:cs="宋体"/>
                <w:b/>
                <w:bCs/>
                <w:color w:val="000000"/>
                <w:kern w:val="0"/>
                <w:sz w:val="22"/>
                <w:szCs w:val="22"/>
                <w:highlight w:val="none"/>
              </w:rPr>
              <w:t>学历学位</w:t>
            </w:r>
          </w:p>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要求</w:t>
            </w:r>
          </w:p>
        </w:tc>
        <w:tc>
          <w:tcPr>
            <w:tcW w:w="1241" w:type="dxa"/>
            <w:noWrap w:val="0"/>
            <w:vAlign w:val="center"/>
          </w:tcPr>
          <w:p>
            <w:pPr>
              <w:widowControl/>
              <w:spacing w:line="0" w:lineRule="atLeast"/>
              <w:jc w:val="center"/>
              <w:textAlignment w:val="center"/>
              <w:rPr>
                <w:rFonts w:hint="eastAsia" w:ascii="宋体" w:hAnsi="宋体" w:eastAsia="宋体" w:cs="宋体"/>
                <w:b/>
                <w:bCs/>
                <w:color w:val="000000"/>
                <w:kern w:val="0"/>
                <w:sz w:val="22"/>
                <w:szCs w:val="22"/>
                <w:highlight w:val="none"/>
                <w:lang w:eastAsia="zh-CN"/>
              </w:rPr>
            </w:pPr>
            <w:r>
              <w:rPr>
                <w:rFonts w:hint="eastAsia" w:ascii="宋体" w:hAnsi="宋体" w:eastAsia="宋体" w:cs="宋体"/>
                <w:b/>
                <w:bCs/>
                <w:color w:val="000000"/>
                <w:kern w:val="0"/>
                <w:sz w:val="22"/>
                <w:szCs w:val="22"/>
                <w:highlight w:val="none"/>
              </w:rPr>
              <w:t>年龄</w:t>
            </w:r>
          </w:p>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要求</w:t>
            </w:r>
          </w:p>
        </w:tc>
        <w:tc>
          <w:tcPr>
            <w:tcW w:w="826" w:type="dxa"/>
            <w:noWrap w:val="0"/>
            <w:vAlign w:val="center"/>
          </w:tcPr>
          <w:p>
            <w:pPr>
              <w:widowControl/>
              <w:spacing w:line="0" w:lineRule="atLeast"/>
              <w:jc w:val="center"/>
              <w:textAlignment w:val="center"/>
              <w:rPr>
                <w:rFonts w:hint="eastAsia" w:ascii="宋体" w:hAnsi="宋体" w:eastAsia="宋体" w:cs="宋体"/>
                <w:b/>
                <w:bCs/>
                <w:color w:val="000000"/>
                <w:kern w:val="0"/>
                <w:sz w:val="22"/>
                <w:szCs w:val="22"/>
                <w:highlight w:val="none"/>
                <w:lang w:eastAsia="zh-CN"/>
              </w:rPr>
            </w:pPr>
            <w:r>
              <w:rPr>
                <w:rFonts w:hint="eastAsia" w:ascii="宋体" w:hAnsi="宋体" w:eastAsia="宋体" w:cs="宋体"/>
                <w:b/>
                <w:bCs/>
                <w:color w:val="000000"/>
                <w:kern w:val="0"/>
                <w:sz w:val="22"/>
                <w:szCs w:val="22"/>
                <w:highlight w:val="none"/>
              </w:rPr>
              <w:t>专业</w:t>
            </w:r>
          </w:p>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要求</w:t>
            </w:r>
          </w:p>
        </w:tc>
        <w:tc>
          <w:tcPr>
            <w:tcW w:w="3801" w:type="dxa"/>
            <w:noWrap w:val="0"/>
            <w:vAlign w:val="center"/>
          </w:tcPr>
          <w:p>
            <w:pPr>
              <w:widowControl/>
              <w:spacing w:line="0" w:lineRule="atLeast"/>
              <w:jc w:val="center"/>
              <w:textAlignment w:val="center"/>
              <w:rPr>
                <w:rFonts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jc w:val="center"/>
        </w:trPr>
        <w:tc>
          <w:tcPr>
            <w:tcW w:w="584" w:type="dxa"/>
            <w:noWrap w:val="0"/>
            <w:vAlign w:val="center"/>
          </w:tcPr>
          <w:p>
            <w:pPr>
              <w:widowControl/>
              <w:spacing w:line="0" w:lineRule="atLeast"/>
              <w:jc w:val="center"/>
              <w:rPr>
                <w:rFonts w:hint="eastAsia"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1</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000000"/>
                <w:spacing w:val="-6"/>
                <w:kern w:val="0"/>
                <w:sz w:val="22"/>
                <w:szCs w:val="22"/>
                <w:highlight w:val="none"/>
                <w:lang w:eastAsia="zh-CN"/>
              </w:rPr>
            </w:pPr>
            <w:r>
              <w:rPr>
                <w:rFonts w:hint="eastAsia" w:ascii="仿宋" w:hAnsi="仿宋" w:eastAsia="仿宋" w:cs="仿宋"/>
                <w:color w:val="000000"/>
                <w:spacing w:val="-6"/>
                <w:kern w:val="0"/>
                <w:sz w:val="22"/>
                <w:szCs w:val="22"/>
                <w:highlight w:val="none"/>
              </w:rPr>
              <w:t>党委（管委</w:t>
            </w:r>
          </w:p>
          <w:p>
            <w:pPr>
              <w:widowControl/>
              <w:wordWrap/>
              <w:adjustRightInd/>
              <w:snapToGrid/>
              <w:spacing w:line="240" w:lineRule="exact"/>
              <w:jc w:val="center"/>
              <w:textAlignment w:val="center"/>
              <w:rPr>
                <w:rFonts w:hint="eastAsia" w:ascii="仿宋" w:hAnsi="仿宋" w:eastAsia="仿宋" w:cs="仿宋"/>
                <w:color w:val="000000"/>
                <w:spacing w:val="-6"/>
                <w:kern w:val="0"/>
                <w:sz w:val="22"/>
                <w:szCs w:val="22"/>
                <w:highlight w:val="none"/>
              </w:rPr>
            </w:pPr>
            <w:r>
              <w:rPr>
                <w:rFonts w:hint="eastAsia" w:ascii="仿宋" w:hAnsi="仿宋" w:eastAsia="仿宋" w:cs="仿宋"/>
                <w:color w:val="000000"/>
                <w:spacing w:val="-6"/>
                <w:kern w:val="0"/>
                <w:sz w:val="22"/>
                <w:szCs w:val="22"/>
                <w:highlight w:val="none"/>
              </w:rPr>
              <w:t>会）办公室</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法律法规与</w:t>
            </w:r>
            <w:r>
              <w:rPr>
                <w:rFonts w:hint="eastAsia" w:ascii="仿宋" w:hAnsi="仿宋" w:eastAsia="仿宋" w:cs="仿宋"/>
                <w:color w:val="auto"/>
                <w:spacing w:val="-6"/>
                <w:kern w:val="0"/>
                <w:sz w:val="22"/>
                <w:szCs w:val="22"/>
                <w:highlight w:val="none"/>
              </w:rPr>
              <w:t>综治维稳岗</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负责指导、协调社会管理综治工作；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2.</w:t>
            </w:r>
            <w:r>
              <w:rPr>
                <w:rFonts w:hint="eastAsia" w:ascii="仿宋" w:hAnsi="仿宋" w:eastAsia="仿宋" w:cs="仿宋"/>
                <w:color w:val="auto"/>
                <w:spacing w:val="-6"/>
                <w:kern w:val="0"/>
                <w:sz w:val="22"/>
                <w:szCs w:val="22"/>
                <w:highlight w:val="none"/>
              </w:rPr>
              <w:t>负责</w:t>
            </w:r>
            <w:r>
              <w:rPr>
                <w:rFonts w:hint="eastAsia" w:ascii="仿宋" w:hAnsi="仿宋" w:eastAsia="仿宋" w:cs="仿宋"/>
                <w:color w:val="auto"/>
                <w:spacing w:val="-6"/>
                <w:kern w:val="0"/>
                <w:sz w:val="22"/>
                <w:szCs w:val="22"/>
                <w:highlight w:val="none"/>
                <w:lang w:val="en-US" w:eastAsia="zh-CN"/>
              </w:rPr>
              <w:t>合作创新区法制工作；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负责维稳相关工作；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负责信访相关工作，受理信访人提出的建议、意见和投诉事项；</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5.</w:t>
            </w:r>
            <w:r>
              <w:rPr>
                <w:rFonts w:hint="eastAsia" w:ascii="仿宋" w:hAnsi="仿宋" w:eastAsia="仿宋" w:cs="仿宋"/>
                <w:color w:val="auto"/>
                <w:spacing w:val="-6"/>
                <w:kern w:val="0"/>
                <w:sz w:val="22"/>
                <w:szCs w:val="22"/>
                <w:highlight w:val="none"/>
              </w:rPr>
              <w:t>负责合作创新区管委会规范性文件的合法性审查和报审、合同文件的法务审查工作；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6.</w:t>
            </w:r>
            <w:r>
              <w:rPr>
                <w:rFonts w:hint="eastAsia" w:ascii="仿宋" w:hAnsi="仿宋" w:eastAsia="仿宋" w:cs="仿宋"/>
                <w:color w:val="auto"/>
                <w:spacing w:val="-6"/>
                <w:kern w:val="0"/>
                <w:sz w:val="22"/>
                <w:szCs w:val="22"/>
                <w:highlight w:val="none"/>
              </w:rPr>
              <w:t>负责国安办等相关工作</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7.</w:t>
            </w:r>
            <w:r>
              <w:rPr>
                <w:rFonts w:hint="eastAsia" w:ascii="仿宋" w:hAnsi="仿宋" w:eastAsia="仿宋" w:cs="仿宋"/>
                <w:color w:val="auto"/>
                <w:spacing w:val="-6"/>
                <w:kern w:val="0"/>
                <w:sz w:val="22"/>
                <w:szCs w:val="22"/>
                <w:highlight w:val="none"/>
              </w:rPr>
              <w:t>完成领导交办的其他工作，并配合其他部门开展工作。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法学类专业，</w:t>
            </w:r>
            <w:r>
              <w:rPr>
                <w:rFonts w:hint="eastAsia" w:ascii="仿宋" w:hAnsi="仿宋" w:eastAsia="仿宋" w:cs="仿宋"/>
                <w:color w:val="auto"/>
                <w:spacing w:val="-6"/>
                <w:kern w:val="0"/>
                <w:sz w:val="22"/>
                <w:szCs w:val="22"/>
                <w:highlight w:val="none"/>
              </w:rPr>
              <w:t>全日制大学本科及以上；</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1.中共党员；</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rPr>
              <w:t>2.熟悉社会综合治理、法制、信访维稳等相关政策法规及专业知识</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lang w:val="en-US" w:eastAsia="zh-CN"/>
              </w:rPr>
              <w:t>通过法律职业资格考试</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rPr>
              <w:t>3.</w:t>
            </w:r>
            <w:r>
              <w:rPr>
                <w:rFonts w:hint="default" w:ascii="仿宋" w:hAnsi="仿宋" w:eastAsia="仿宋" w:cs="仿宋"/>
                <w:color w:val="auto"/>
                <w:spacing w:val="-6"/>
                <w:kern w:val="0"/>
                <w:sz w:val="22"/>
                <w:szCs w:val="22"/>
                <w:highlight w:val="none"/>
              </w:rPr>
              <w:t>具备较好的文字综合能力、执行能力、沟通协调能力、团队协作能力、持续学习能力、抗压能力；</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4.具备</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年以上</w:t>
            </w:r>
            <w:r>
              <w:rPr>
                <w:rFonts w:hint="eastAsia" w:ascii="仿宋" w:hAnsi="仿宋" w:eastAsia="仿宋" w:cs="仿宋"/>
                <w:color w:val="auto"/>
                <w:spacing w:val="-6"/>
                <w:kern w:val="0"/>
                <w:sz w:val="22"/>
                <w:szCs w:val="22"/>
                <w:highlight w:val="none"/>
                <w:lang w:val="en-US" w:eastAsia="zh-CN"/>
              </w:rPr>
              <w:t>岗位</w:t>
            </w:r>
            <w:r>
              <w:rPr>
                <w:rFonts w:hint="eastAsia" w:ascii="仿宋" w:hAnsi="仿宋" w:eastAsia="仿宋" w:cs="仿宋"/>
                <w:color w:val="auto"/>
                <w:spacing w:val="-6"/>
                <w:kern w:val="0"/>
                <w:sz w:val="22"/>
                <w:szCs w:val="22"/>
                <w:highlight w:val="none"/>
              </w:rPr>
              <w:t>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5.</w:t>
            </w:r>
            <w:r>
              <w:rPr>
                <w:rFonts w:hint="default"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val="en-US" w:eastAsia="zh-CN"/>
              </w:rPr>
              <w:t>法律相关专业优先</w:t>
            </w:r>
            <w:r>
              <w:rPr>
                <w:rFonts w:hint="default" w:ascii="仿宋" w:hAnsi="仿宋" w:eastAsia="仿宋" w:cs="仿宋"/>
                <w:color w:val="auto"/>
                <w:spacing w:val="-6"/>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2</w:t>
            </w:r>
          </w:p>
        </w:tc>
        <w:tc>
          <w:tcPr>
            <w:tcW w:w="1283"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投资促进局</w:t>
            </w:r>
          </w:p>
        </w:tc>
        <w:tc>
          <w:tcPr>
            <w:tcW w:w="934"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副局长</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1.负责合作创新区产业规划、制度创新、综合改革、科技创新等工作；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2.负责综合统计工作及经济运行分析和预测预警；</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3.负责统筹合作创新区工业和信息化融合发展工作；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4.负责牵头合作创新区年度目标任务分解和考核工作；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5.负责对接上级有关部门工作，并配合其他部门开展工作。</w:t>
            </w: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19</w:t>
            </w:r>
            <w:r>
              <w:rPr>
                <w:rFonts w:hint="eastAsia" w:ascii="仿宋" w:hAnsi="仿宋" w:eastAsia="仿宋" w:cs="仿宋"/>
                <w:color w:val="auto"/>
                <w:spacing w:val="-6"/>
                <w:kern w:val="0"/>
                <w:sz w:val="22"/>
                <w:szCs w:val="22"/>
                <w:highlight w:val="none"/>
                <w:lang w:val="en-US" w:eastAsia="zh-CN"/>
              </w:rPr>
              <w:t>83</w:t>
            </w:r>
            <w:r>
              <w:rPr>
                <w:rFonts w:hint="eastAsia" w:ascii="仿宋" w:hAnsi="仿宋" w:eastAsia="仿宋" w:cs="仿宋"/>
                <w:color w:val="auto"/>
                <w:spacing w:val="-6"/>
                <w:kern w:val="0"/>
                <w:sz w:val="22"/>
                <w:szCs w:val="22"/>
                <w:highlight w:val="none"/>
              </w:rPr>
              <w:t>年1月1日及以后出生。特别优秀者，可适当放宽</w:t>
            </w:r>
            <w:r>
              <w:rPr>
                <w:rFonts w:hint="eastAsia" w:ascii="仿宋" w:hAnsi="仿宋" w:eastAsia="仿宋" w:cs="仿宋"/>
                <w:color w:val="auto"/>
                <w:spacing w:val="-6"/>
                <w:kern w:val="0"/>
                <w:sz w:val="22"/>
                <w:szCs w:val="22"/>
                <w:highlight w:val="none"/>
                <w:lang w:val="en-US" w:eastAsia="zh-CN"/>
              </w:rPr>
              <w:t>至1978年1月1日</w:t>
            </w:r>
            <w:r>
              <w:rPr>
                <w:rFonts w:hint="eastAsia" w:ascii="仿宋" w:hAnsi="仿宋" w:eastAsia="仿宋" w:cs="仿宋"/>
                <w:color w:val="auto"/>
                <w:spacing w:val="-6"/>
                <w:kern w:val="0"/>
                <w:sz w:val="22"/>
                <w:szCs w:val="22"/>
                <w:highlight w:val="none"/>
              </w:rPr>
              <w:t>。</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default" w:ascii="仿宋" w:hAnsi="仿宋" w:eastAsia="仿宋" w:cs="仿宋"/>
                <w:color w:val="auto"/>
                <w:spacing w:val="-6"/>
                <w:kern w:val="0"/>
                <w:sz w:val="22"/>
                <w:szCs w:val="22"/>
                <w:highlight w:val="none"/>
              </w:rPr>
              <w:t>1.中共党员；</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2.熟悉国家宏观经济和产业政策，熟悉经济发展、招商引资等相关政策法规及专业知识；</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3.具备优秀的组织领导、沟通协调及社会活动能力；</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4.具备5年以上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rPr>
              <w:t>相关工作</w:t>
            </w:r>
            <w:r>
              <w:rPr>
                <w:rFonts w:hint="eastAsia" w:ascii="仿宋" w:hAnsi="仿宋" w:eastAsia="仿宋" w:cs="仿宋"/>
                <w:color w:val="auto"/>
                <w:spacing w:val="-6"/>
                <w:kern w:val="0"/>
                <w:sz w:val="22"/>
                <w:szCs w:val="22"/>
                <w:highlight w:val="none"/>
                <w:lang w:val="en-US" w:eastAsia="zh-CN"/>
              </w:rPr>
              <w:t>经验</w:t>
            </w:r>
            <w:r>
              <w:rPr>
                <w:rFonts w:hint="default" w:ascii="仿宋" w:hAnsi="仿宋" w:eastAsia="仿宋" w:cs="仿宋"/>
                <w:color w:val="auto"/>
                <w:spacing w:val="-6"/>
                <w:kern w:val="0"/>
                <w:sz w:val="22"/>
                <w:szCs w:val="22"/>
                <w:highlight w:val="none"/>
              </w:rPr>
              <w:t>；</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5.</w:t>
            </w:r>
            <w:r>
              <w:rPr>
                <w:rFonts w:hint="eastAsia" w:ascii="仿宋" w:hAnsi="仿宋" w:eastAsia="仿宋" w:cs="仿宋"/>
                <w:color w:val="auto"/>
                <w:spacing w:val="-6"/>
                <w:kern w:val="0"/>
                <w:sz w:val="22"/>
                <w:szCs w:val="22"/>
                <w:highlight w:val="none"/>
                <w:lang w:val="en-US" w:eastAsia="zh-CN"/>
              </w:rPr>
              <w:t>具有</w:t>
            </w:r>
            <w:r>
              <w:rPr>
                <w:rFonts w:hint="default" w:ascii="仿宋" w:hAnsi="仿宋" w:eastAsia="仿宋" w:cs="仿宋"/>
                <w:color w:val="auto"/>
                <w:spacing w:val="-6"/>
                <w:kern w:val="0"/>
                <w:sz w:val="22"/>
                <w:szCs w:val="22"/>
                <w:highlight w:val="none"/>
                <w:lang w:val="en-US" w:eastAsia="zh-CN"/>
              </w:rPr>
              <w:t>党政机关、事业单位、人民团体、国内同类园区</w:t>
            </w:r>
            <w:r>
              <w:rPr>
                <w:rFonts w:hint="eastAsia" w:ascii="仿宋" w:hAnsi="仿宋" w:eastAsia="仿宋" w:cs="仿宋"/>
                <w:color w:val="auto"/>
                <w:spacing w:val="-6"/>
                <w:kern w:val="0"/>
                <w:sz w:val="22"/>
                <w:szCs w:val="22"/>
                <w:highlight w:val="none"/>
                <w:lang w:val="en-US" w:eastAsia="zh-CN"/>
              </w:rPr>
              <w:t>正科级及以上领导职务，或具</w:t>
            </w:r>
            <w:r>
              <w:rPr>
                <w:rFonts w:hint="default" w:ascii="仿宋" w:hAnsi="仿宋" w:eastAsia="仿宋" w:cs="仿宋"/>
                <w:color w:val="auto"/>
                <w:spacing w:val="-6"/>
                <w:kern w:val="0"/>
                <w:sz w:val="22"/>
                <w:szCs w:val="22"/>
                <w:highlight w:val="none"/>
                <w:lang w:val="en-US" w:eastAsia="zh-CN"/>
              </w:rPr>
              <w:t>有</w:t>
            </w:r>
            <w:r>
              <w:rPr>
                <w:rFonts w:hint="eastAsia" w:ascii="仿宋" w:hAnsi="仿宋" w:eastAsia="仿宋" w:cs="仿宋"/>
                <w:color w:val="auto"/>
                <w:spacing w:val="-6"/>
                <w:kern w:val="0"/>
                <w:sz w:val="22"/>
                <w:szCs w:val="22"/>
                <w:highlight w:val="none"/>
                <w:lang w:val="en-US" w:eastAsia="zh-CN"/>
              </w:rPr>
              <w:t>中型以上国有企业（按国家统计局关于中型以上企业统计口径认定）中层及以上领导职务工作</w:t>
            </w:r>
            <w:r>
              <w:rPr>
                <w:rFonts w:hint="default" w:ascii="仿宋" w:hAnsi="仿宋" w:eastAsia="仿宋" w:cs="仿宋"/>
                <w:color w:val="auto"/>
                <w:spacing w:val="-6"/>
                <w:kern w:val="0"/>
                <w:sz w:val="22"/>
                <w:szCs w:val="22"/>
                <w:highlight w:val="none"/>
                <w:lang w:val="en-US" w:eastAsia="zh-CN"/>
              </w:rPr>
              <w:t>经历</w:t>
            </w:r>
            <w:r>
              <w:rPr>
                <w:rFonts w:hint="eastAsia" w:ascii="仿宋" w:hAnsi="仿宋" w:eastAsia="仿宋" w:cs="仿宋"/>
                <w:color w:val="auto"/>
                <w:spacing w:val="-6"/>
                <w:kern w:val="0"/>
                <w:sz w:val="22"/>
                <w:szCs w:val="22"/>
                <w:highlight w:val="none"/>
                <w:lang w:val="en-US"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3</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投资促进局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综合统计岗</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1.负责统筹合作创新区统计工作，牵头监测、预测合作创新区经济社会运行；</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2.负责组织实施固定资产投资、建筑业、房地产业领域统计数据调查,收集、整理和提供有关调查的统计数据，开展行业统计分析;</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3.负责对相关统计数据质量进行检查和评估;</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4.负责组织指导有关专业统计基础工作和统计监测评价体系建设；</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5.完成领导交办的其他工作，并配合其他部门开展工作。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default" w:ascii="仿宋" w:hAnsi="仿宋" w:eastAsia="仿宋" w:cs="仿宋"/>
                <w:color w:val="auto"/>
                <w:spacing w:val="-6"/>
                <w:kern w:val="0"/>
                <w:sz w:val="22"/>
                <w:szCs w:val="22"/>
                <w:highlight w:val="none"/>
              </w:rPr>
              <w:t>熟悉国家宏观经济和产业政策，熟悉</w:t>
            </w:r>
            <w:r>
              <w:rPr>
                <w:rFonts w:hint="eastAsia" w:ascii="仿宋" w:hAnsi="仿宋" w:eastAsia="仿宋" w:cs="仿宋"/>
                <w:color w:val="auto"/>
                <w:spacing w:val="-6"/>
                <w:kern w:val="0"/>
                <w:sz w:val="22"/>
                <w:szCs w:val="22"/>
                <w:highlight w:val="none"/>
                <w:lang w:val="en-US" w:eastAsia="zh-CN"/>
              </w:rPr>
              <w:t>统计</w:t>
            </w:r>
            <w:r>
              <w:rPr>
                <w:rFonts w:hint="default" w:ascii="仿宋" w:hAnsi="仿宋" w:eastAsia="仿宋" w:cs="仿宋"/>
                <w:color w:val="auto"/>
                <w:spacing w:val="-6"/>
                <w:kern w:val="0"/>
                <w:sz w:val="22"/>
                <w:szCs w:val="22"/>
                <w:highlight w:val="none"/>
              </w:rPr>
              <w:t>相关政策法规及专业知识；</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rPr>
              <w:t>.</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年以上岗位相关工作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lang w:val="en-US" w:eastAsia="zh-CN"/>
              </w:rPr>
              <w:t>统计相关专业优先</w:t>
            </w:r>
            <w:r>
              <w:rPr>
                <w:rFonts w:hint="default" w:ascii="仿宋" w:hAnsi="仿宋" w:eastAsia="仿宋" w:cs="仿宋"/>
                <w:color w:val="auto"/>
                <w:spacing w:val="-6"/>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4</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审批服务局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行政审批岗</w:t>
            </w:r>
          </w:p>
        </w:tc>
        <w:tc>
          <w:tcPr>
            <w:tcW w:w="4867" w:type="dxa"/>
            <w:noWrap w:val="0"/>
            <w:vAlign w:val="center"/>
          </w:tcPr>
          <w:p>
            <w:pPr>
              <w:widowControl/>
              <w:numPr>
                <w:ilvl w:val="0"/>
                <w:numId w:val="0"/>
              </w:numPr>
              <w:spacing w:line="240" w:lineRule="exact"/>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1.负责合作创新区行政审批事项处理工作；</w:t>
            </w:r>
          </w:p>
          <w:p>
            <w:pPr>
              <w:widowControl/>
              <w:numPr>
                <w:ilvl w:val="0"/>
                <w:numId w:val="0"/>
              </w:numPr>
              <w:spacing w:line="240" w:lineRule="exact"/>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2.负责合作创新区行政审批制度创新和审批流程优化与创新；</w:t>
            </w:r>
          </w:p>
          <w:p>
            <w:pPr>
              <w:widowControl/>
              <w:numPr>
                <w:ilvl w:val="0"/>
                <w:numId w:val="0"/>
              </w:numPr>
              <w:spacing w:line="240" w:lineRule="exact"/>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3.负责协调上级业务单位，跟踪审批服务事项，协调解决集中审批服务事项办理过程中出现的问题；</w:t>
            </w:r>
          </w:p>
          <w:p>
            <w:pPr>
              <w:widowControl/>
              <w:numPr>
                <w:ilvl w:val="0"/>
                <w:numId w:val="0"/>
              </w:numPr>
              <w:spacing w:line="240" w:lineRule="exact"/>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4.负责对接审批领域与国家、省、市平台对接；</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5.完成领导交办的其他工作，并配合其他部门开展工作。</w:t>
            </w: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default" w:ascii="仿宋" w:hAnsi="仿宋" w:eastAsia="仿宋" w:cs="仿宋"/>
                <w:color w:val="auto"/>
                <w:spacing w:val="-6"/>
                <w:kern w:val="0"/>
                <w:sz w:val="22"/>
                <w:szCs w:val="22"/>
                <w:highlight w:val="none"/>
              </w:rPr>
              <w:t>熟悉</w:t>
            </w:r>
            <w:r>
              <w:rPr>
                <w:rFonts w:hint="eastAsia" w:ascii="仿宋" w:hAnsi="仿宋" w:eastAsia="仿宋" w:cs="仿宋"/>
                <w:color w:val="auto"/>
                <w:spacing w:val="-6"/>
                <w:kern w:val="0"/>
                <w:sz w:val="22"/>
                <w:szCs w:val="22"/>
                <w:highlight w:val="none"/>
                <w:lang w:val="en-US" w:eastAsia="zh-CN"/>
              </w:rPr>
              <w:t>行政审批</w:t>
            </w:r>
            <w:r>
              <w:rPr>
                <w:rFonts w:hint="default" w:ascii="仿宋" w:hAnsi="仿宋" w:eastAsia="仿宋" w:cs="仿宋"/>
                <w:color w:val="auto"/>
                <w:spacing w:val="-6"/>
                <w:kern w:val="0"/>
                <w:sz w:val="22"/>
                <w:szCs w:val="22"/>
                <w:highlight w:val="none"/>
              </w:rPr>
              <w:t>相关政策法规及专业知识；</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rPr>
              <w:t>.</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w:t>
            </w:r>
            <w:r>
              <w:rPr>
                <w:rFonts w:hint="eastAsia" w:ascii="仿宋" w:hAnsi="仿宋" w:eastAsia="仿宋" w:cs="仿宋"/>
                <w:color w:val="auto"/>
                <w:spacing w:val="-6"/>
                <w:kern w:val="0"/>
                <w:sz w:val="22"/>
                <w:szCs w:val="22"/>
                <w:highlight w:val="none"/>
                <w:lang w:val="en-US" w:eastAsia="zh-CN"/>
              </w:rPr>
              <w:t>熟悉对外开放、自贸区领域工作</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rPr>
              <w:t>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5</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规划建设局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（综合执法局、应急管理局）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生态和水务管理岗</w:t>
            </w:r>
          </w:p>
        </w:tc>
        <w:tc>
          <w:tcPr>
            <w:tcW w:w="4867" w:type="dxa"/>
            <w:noWrap w:val="0"/>
            <w:vAlign w:val="center"/>
          </w:tcPr>
          <w:p>
            <w:pPr>
              <w:widowControl/>
              <w:numPr>
                <w:ilvl w:val="0"/>
                <w:numId w:val="0"/>
              </w:numPr>
              <w:wordWrap/>
              <w:adjustRightInd/>
              <w:snapToGrid/>
              <w:spacing w:line="240" w:lineRule="exact"/>
              <w:jc w:val="both"/>
              <w:textAlignment w:val="center"/>
              <w:rPr>
                <w:color w:val="auto"/>
              </w:rPr>
            </w:pPr>
            <w:r>
              <w:rPr>
                <w:rFonts w:hint="eastAsia" w:ascii="仿宋" w:hAnsi="仿宋" w:eastAsia="仿宋" w:cs="仿宋"/>
                <w:color w:val="auto"/>
                <w:spacing w:val="-6"/>
                <w:kern w:val="0"/>
                <w:sz w:val="22"/>
                <w:szCs w:val="22"/>
                <w:highlight w:val="none"/>
                <w:lang w:val="en-US" w:eastAsia="zh-CN"/>
              </w:rPr>
              <w:t>1.负责项目生态环境影响评价等生态环境领域审批工作和水土保持等水务领域管理工作；</w:t>
            </w:r>
          </w:p>
          <w:p>
            <w:pPr>
              <w:widowControl/>
              <w:numPr>
                <w:ilvl w:val="0"/>
                <w:numId w:val="0"/>
              </w:numPr>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2.负责自然资源土地、林业、矿产等自然资源领域卫片整改和行政执法工作；</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完成领导交办的其他工作，并配合其他部门开展工作。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熟悉</w:t>
            </w:r>
            <w:r>
              <w:rPr>
                <w:rFonts w:hint="eastAsia" w:ascii="仿宋" w:hAnsi="仿宋" w:eastAsia="仿宋" w:cs="仿宋"/>
                <w:color w:val="auto"/>
                <w:spacing w:val="-6"/>
                <w:kern w:val="0"/>
                <w:sz w:val="22"/>
                <w:szCs w:val="22"/>
                <w:highlight w:val="none"/>
                <w:lang w:val="en-US" w:eastAsia="zh-CN"/>
              </w:rPr>
              <w:t>自然资源、</w:t>
            </w:r>
            <w:r>
              <w:rPr>
                <w:rFonts w:hint="eastAsia" w:ascii="仿宋" w:hAnsi="仿宋" w:eastAsia="仿宋" w:cs="仿宋"/>
                <w:color w:val="auto"/>
                <w:spacing w:val="-6"/>
                <w:kern w:val="0"/>
                <w:sz w:val="22"/>
                <w:szCs w:val="22"/>
                <w:highlight w:val="none"/>
              </w:rPr>
              <w:t>生态环境、水利水务建设等相关政策法规及专业知识；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rPr>
              <w:t>相关工作经验；</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rPr>
              <w:t>.具有党政机关、事业单位</w:t>
            </w:r>
            <w:r>
              <w:rPr>
                <w:rFonts w:hint="eastAsia" w:ascii="仿宋" w:hAnsi="仿宋" w:eastAsia="仿宋" w:cs="仿宋"/>
                <w:color w:val="auto"/>
                <w:spacing w:val="-6"/>
                <w:kern w:val="0"/>
                <w:sz w:val="22"/>
                <w:szCs w:val="22"/>
                <w:highlight w:val="none"/>
                <w:lang w:val="en-US" w:eastAsia="zh-CN"/>
              </w:rPr>
              <w:t>及行政执法</w:t>
            </w:r>
            <w:r>
              <w:rPr>
                <w:rFonts w:hint="default" w:ascii="仿宋" w:hAnsi="仿宋" w:eastAsia="仿宋" w:cs="仿宋"/>
                <w:color w:val="auto"/>
                <w:spacing w:val="-6"/>
                <w:kern w:val="0"/>
                <w:sz w:val="22"/>
                <w:szCs w:val="22"/>
                <w:highlight w:val="none"/>
              </w:rPr>
              <w:t>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6</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规划建设局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（综合执法局、应急管理局）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市场监督管理岗</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1.负责市场综合监督管理、规范和维护市场秩序、依法监督管理市场交易行为等工作；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2.负责企业信用监督管理、组织对注册企业登记事项的监督管理等工作；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3.负责食品、药品、医疗器械、化妆品及特种设备的安全监督管理工作；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4.负责开展市场监管行政执法、规范市场监管行政执法行为等工作；</w:t>
            </w:r>
          </w:p>
          <w:p>
            <w:pPr>
              <w:widowControl/>
              <w:wordWrap/>
              <w:adjustRightInd/>
              <w:snapToGrid/>
              <w:spacing w:line="240" w:lineRule="exact"/>
              <w:jc w:val="both"/>
              <w:textAlignment w:val="center"/>
              <w:rPr>
                <w:rFonts w:hint="eastAsia" w:ascii="等线" w:hAnsi="等线" w:eastAsia="等线" w:cs="黑体"/>
                <w:color w:val="auto"/>
                <w:kern w:val="2"/>
                <w:sz w:val="21"/>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5.完成领导交办的其他工作，并配合其他部门开展工作。</w:t>
            </w: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2</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1.熟悉食品药品管理、特种设备、市场秩序管理等相关政策法规及专业知识；2</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lang w:val="en-US" w:eastAsia="zh-CN"/>
              </w:rPr>
              <w:t>相关工作经验；</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7</w:t>
            </w:r>
          </w:p>
        </w:tc>
        <w:tc>
          <w:tcPr>
            <w:tcW w:w="1283" w:type="dxa"/>
            <w:noWrap w:val="0"/>
            <w:vAlign w:val="center"/>
          </w:tcPr>
          <w:p>
            <w:pPr>
              <w:widowControl/>
              <w:spacing w:line="0" w:lineRule="atLeast"/>
              <w:jc w:val="center"/>
              <w:rPr>
                <w:rFonts w:hint="eastAsia" w:ascii="仿宋" w:hAnsi="仿宋" w:eastAsia="仿宋" w:cs="仿宋"/>
                <w:color w:val="auto"/>
                <w:spacing w:val="-6"/>
                <w:kern w:val="0"/>
                <w:sz w:val="24"/>
                <w:szCs w:val="24"/>
                <w:highlight w:val="none"/>
                <w:lang w:val="en-US" w:eastAsia="zh-CN" w:bidi="ar-SA"/>
              </w:rPr>
            </w:pPr>
            <w:r>
              <w:rPr>
                <w:rFonts w:hint="eastAsia" w:ascii="仿宋" w:hAnsi="仿宋" w:eastAsia="仿宋" w:cs="仿宋"/>
                <w:color w:val="auto"/>
                <w:spacing w:val="-6"/>
                <w:kern w:val="0"/>
                <w:sz w:val="22"/>
                <w:szCs w:val="22"/>
                <w:highlight w:val="none"/>
              </w:rPr>
              <w:t>规划建设局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（综合执法局、应急管理局）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土地储备岗</w:t>
            </w:r>
          </w:p>
        </w:tc>
        <w:tc>
          <w:tcPr>
            <w:tcW w:w="4867" w:type="dxa"/>
            <w:noWrap w:val="0"/>
            <w:vAlign w:val="center"/>
          </w:tcPr>
          <w:p>
            <w:pPr>
              <w:widowControl/>
              <w:numPr>
                <w:ilvl w:val="0"/>
                <w:numId w:val="0"/>
              </w:numPr>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1.负责全区国有土地、集体土地收回储备与收购储备工作；</w:t>
            </w:r>
          </w:p>
          <w:p>
            <w:pPr>
              <w:widowControl/>
              <w:numPr>
                <w:ilvl w:val="0"/>
                <w:numId w:val="0"/>
              </w:numPr>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2.负责组织实施全区范围内土地一级开发并对储备宗地进行日常管理及相关业务；</w:t>
            </w:r>
          </w:p>
          <w:p>
            <w:pPr>
              <w:widowControl/>
              <w:numPr>
                <w:ilvl w:val="0"/>
                <w:numId w:val="0"/>
              </w:numPr>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3.负责编制土地收购计划台账、报表工作；</w:t>
            </w:r>
          </w:p>
          <w:p>
            <w:pPr>
              <w:widowControl/>
              <w:numPr>
                <w:ilvl w:val="0"/>
                <w:numId w:val="0"/>
              </w:numPr>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4.负责区内土地整备、收储、历史遗留用地问题处理工作；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5.负责土地监测调查、</w:t>
            </w:r>
            <w:r>
              <w:rPr>
                <w:rFonts w:hint="default" w:ascii="仿宋" w:hAnsi="仿宋" w:eastAsia="仿宋" w:cs="仿宋"/>
                <w:color w:val="auto"/>
                <w:spacing w:val="-6"/>
                <w:kern w:val="0"/>
                <w:sz w:val="22"/>
                <w:szCs w:val="22"/>
                <w:highlight w:val="none"/>
                <w:lang w:val="en-US" w:eastAsia="zh-CN"/>
              </w:rPr>
              <w:t>耕地保护</w:t>
            </w:r>
            <w:r>
              <w:rPr>
                <w:rFonts w:hint="eastAsia" w:ascii="仿宋" w:hAnsi="仿宋" w:eastAsia="仿宋" w:cs="仿宋"/>
                <w:color w:val="auto"/>
                <w:spacing w:val="-6"/>
                <w:kern w:val="0"/>
                <w:sz w:val="22"/>
                <w:szCs w:val="22"/>
                <w:highlight w:val="none"/>
                <w:lang w:val="en-US" w:eastAsia="zh-CN"/>
              </w:rPr>
              <w:t>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6.完成领导交办的其他工作，并配合其他部门开展工作。</w:t>
            </w: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1.熟悉土地收储等相关政策法规及专业知识；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lang w:val="en-US" w:eastAsia="zh-CN"/>
              </w:rPr>
              <w:t>相关工作经验；</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8</w:t>
            </w:r>
          </w:p>
        </w:tc>
        <w:tc>
          <w:tcPr>
            <w:tcW w:w="1283"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规划建设局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（综合执法局、应急管理局）</w:t>
            </w:r>
          </w:p>
        </w:tc>
        <w:tc>
          <w:tcPr>
            <w:tcW w:w="934"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房产管理岗</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1.负责合作创新区房产市场交易管理工作；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2.负责房地产企业资质管理、房屋维修资金、物业管理；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3.负责审查和放发商品房预（销）售许可等房地产行业管理和市场监督工作；</w:t>
            </w:r>
          </w:p>
          <w:p>
            <w:pPr>
              <w:widowControl/>
              <w:wordWrap/>
              <w:adjustRightInd/>
              <w:snapToGrid/>
              <w:spacing w:line="240" w:lineRule="exact"/>
              <w:jc w:val="both"/>
              <w:textAlignment w:val="center"/>
              <w:rPr>
                <w:rFonts w:hint="eastAsia" w:ascii="等线" w:hAnsi="等线" w:eastAsia="等线" w:cs="黑体"/>
                <w:color w:val="auto"/>
                <w:kern w:val="2"/>
                <w:sz w:val="21"/>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完成领导交办的其他工作，并配合其他部门开展工作。</w:t>
            </w:r>
          </w:p>
        </w:tc>
        <w:tc>
          <w:tcPr>
            <w:tcW w:w="817"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1.熟悉房地产等相关政策法规及专业知识；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lang w:val="en-US" w:eastAsia="zh-CN"/>
              </w:rPr>
              <w:t>相关工作经验；</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584" w:type="dxa"/>
            <w:noWrap w:val="0"/>
            <w:vAlign w:val="center"/>
          </w:tcPr>
          <w:p>
            <w:pPr>
              <w:widowControl/>
              <w:spacing w:line="0" w:lineRule="atLeast"/>
              <w:jc w:val="center"/>
              <w:rPr>
                <w:rFonts w:hint="default" w:ascii="仿宋" w:hAnsi="仿宋" w:eastAsia="仿宋" w:cs="仿宋"/>
                <w:color w:val="000000"/>
                <w:spacing w:val="-6"/>
                <w:kern w:val="0"/>
                <w:sz w:val="24"/>
                <w:szCs w:val="24"/>
                <w:highlight w:val="none"/>
                <w:lang w:val="en-US" w:eastAsia="zh-CN"/>
              </w:rPr>
            </w:pPr>
            <w:r>
              <w:rPr>
                <w:rFonts w:hint="eastAsia" w:ascii="仿宋" w:hAnsi="仿宋" w:eastAsia="仿宋" w:cs="仿宋"/>
                <w:color w:val="000000"/>
                <w:spacing w:val="-6"/>
                <w:kern w:val="0"/>
                <w:sz w:val="24"/>
                <w:szCs w:val="24"/>
                <w:highlight w:val="none"/>
                <w:lang w:val="en-US" w:eastAsia="zh-CN"/>
              </w:rPr>
              <w:t>9</w:t>
            </w:r>
          </w:p>
        </w:tc>
        <w:tc>
          <w:tcPr>
            <w:tcW w:w="1283" w:type="dxa"/>
            <w:noWrap w:val="0"/>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纪委办公室（纪检监察室）</w:t>
            </w:r>
          </w:p>
        </w:tc>
        <w:tc>
          <w:tcPr>
            <w:tcW w:w="934" w:type="dxa"/>
            <w:noWrap w:val="0"/>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纪检监察员</w:t>
            </w:r>
          </w:p>
        </w:tc>
        <w:tc>
          <w:tcPr>
            <w:tcW w:w="4867"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1.负责党员干部监督检查、廉洁审核工作；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2.负责受理党员群众检举举报工作；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3.负责问题线索处置和案件审查调查工作；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4.负责组织协调全面从严治党、党风廉政建设和反腐败工作；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5.负责纪检监察工作安全和保密事项；</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6.负责纪检监察干部自身建设工作；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7.完成领导交办的其他工作，并配合其他部门开展工作。</w:t>
            </w:r>
          </w:p>
          <w:p>
            <w:pPr>
              <w:pStyle w:val="5"/>
              <w:rPr>
                <w:rFonts w:hint="default"/>
                <w:color w:val="auto"/>
                <w:lang w:val="en-US" w:eastAsia="zh-CN"/>
              </w:rPr>
            </w:pPr>
          </w:p>
        </w:tc>
        <w:tc>
          <w:tcPr>
            <w:tcW w:w="817" w:type="dxa"/>
            <w:noWrap w:val="0"/>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w:t>
            </w:r>
          </w:p>
        </w:tc>
        <w:tc>
          <w:tcPr>
            <w:tcW w:w="1416"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noWrap w:val="0"/>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1988年1月1日及以后出生。特别优秀者，可适当放宽至1983年1月1日。</w:t>
            </w:r>
          </w:p>
        </w:tc>
        <w:tc>
          <w:tcPr>
            <w:tcW w:w="826" w:type="dxa"/>
            <w:noWrap w:val="0"/>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noWrap w:val="0"/>
            <w:vAlign w:val="center"/>
          </w:tcPr>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1.中共党员；</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2.具有3年以上纪检监察工作经历，同时须具备查案办案相关工作经验；</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.具有党政机关、事业单位、园区或大型企业相关工作经历优先考虑。</w:t>
            </w:r>
          </w:p>
        </w:tc>
      </w:tr>
    </w:tbl>
    <w:p>
      <w:pPr>
        <w:pStyle w:val="5"/>
        <w:jc w:val="center"/>
        <w:rPr>
          <w:rFonts w:hint="eastAsia" w:ascii="方正小标宋简体" w:hAnsi="方正小标宋简体" w:eastAsia="方正小标宋简体" w:cs="方正小标宋简体"/>
          <w:color w:val="auto"/>
          <w:spacing w:val="-17"/>
          <w:kern w:val="0"/>
          <w:sz w:val="44"/>
          <w:szCs w:val="44"/>
          <w:lang w:val="en-US" w:eastAsia="zh-CN" w:bidi="ar-SA"/>
        </w:rPr>
      </w:pPr>
    </w:p>
    <w:p>
      <w:pPr>
        <w:pStyle w:val="5"/>
        <w:tabs>
          <w:tab w:val="left" w:pos="9354"/>
        </w:tabs>
        <w:rPr>
          <w:rFonts w:hint="default" w:ascii="仿宋" w:hAnsi="仿宋" w:eastAsia="仿宋" w:cs="仿宋_GB2312"/>
          <w:color w:val="auto"/>
          <w:sz w:val="32"/>
          <w:szCs w:val="32"/>
          <w:lang w:val="en-US" w:eastAsia="zh-CN"/>
        </w:rPr>
        <w:sectPr>
          <w:pgSz w:w="16838" w:h="11906" w:orient="landscape"/>
          <w:pgMar w:top="1474" w:right="1701" w:bottom="1474" w:left="1418" w:header="851" w:footer="992"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華康儷楷書(P)">
    <w:altName w:val="宋体"/>
    <w:panose1 w:val="02010601000101010101"/>
    <w:charset w:val="88"/>
    <w:family w:val="auto"/>
    <w:pitch w:val="default"/>
    <w:sig w:usb0="00000000" w:usb1="00000000" w:usb2="00000010" w:usb3="00000000" w:csb0="00100000"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MGI0YzQzODNiNjYyNjQwMTRiOWY3ZDI5MDgwY2IifQ=="/>
  </w:docVars>
  <w:rsids>
    <w:rsidRoot w:val="65481B60"/>
    <w:rsid w:val="6548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next w:val="3"/>
    <w:unhideWhenUsed/>
    <w:qFormat/>
    <w:uiPriority w:val="99"/>
    <w:pPr>
      <w:spacing w:line="480" w:lineRule="auto"/>
    </w:pPr>
  </w:style>
  <w:style w:type="paragraph" w:styleId="3">
    <w:name w:val="Body Text First Indent 2"/>
    <w:basedOn w:val="4"/>
    <w:next w:val="1"/>
    <w:unhideWhenUsed/>
    <w:qFormat/>
    <w:uiPriority w:val="99"/>
    <w:pPr>
      <w:ind w:firstLine="420" w:firstLineChars="200"/>
    </w:pPr>
    <w:rPr>
      <w:sz w:val="32"/>
    </w:rPr>
  </w:style>
  <w:style w:type="paragraph" w:styleId="4">
    <w:name w:val="Body Text Indent"/>
    <w:basedOn w:val="1"/>
    <w:qFormat/>
    <w:uiPriority w:val="0"/>
    <w:pPr>
      <w:adjustRightInd w:val="0"/>
      <w:spacing w:line="520" w:lineRule="atLeast"/>
      <w:ind w:firstLine="630"/>
      <w:jc w:val="both"/>
      <w:textAlignment w:val="baseline"/>
    </w:pPr>
    <w:rPr>
      <w:rFonts w:ascii="Times New Roman" w:hAnsi="Times New Roman" w:eastAsia="華康儷楷書(P)" w:cs="Times New Roman"/>
      <w:kern w:val="0"/>
      <w:sz w:val="28"/>
      <w:szCs w:val="28"/>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rFonts w:ascii="Calibri" w:hAnsi="Calibri" w:eastAsia="方正仿宋简体" w:cs="Times New Roman"/>
      <w:sz w:val="18"/>
      <w:szCs w:val="18"/>
    </w:rPr>
  </w:style>
  <w:style w:type="character" w:styleId="9">
    <w:name w:val="page number"/>
    <w:basedOn w:val="8"/>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2023-09-04T08:54:00Z</dcterms:created>
  <dc:creator>SUN</dc:creator>
  <cp:lastModifiedBy>SUN</cp:lastModifiedBy>
  <dcterms:modified xsi:type="dcterms:W3CDTF">2023-09-04T08:55:07Z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D9602DE29FA54E03AD6D76CB0739A956_11</vt:lpwstr>
  </property>
</Properties>
</file>